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209</w:t>
      </w:r>
    </w:p>
    <w:p>
      <w:r>
        <w:t>Bundesgericht (BGE), 2022-01-20, DE</w:t>
      </w:r>
    </w:p>
    <w:p>
      <w:r>
        <w:rPr>
          <w:b/>
        </w:rPr>
        <w:t xml:space="preserve">Quelle: </w:t>
      </w:r>
      <w:r>
        <w:t>https://mcp.opencaselaw.ch/entscheid/bge_148 V 209</w:t>
      </w:r>
    </w:p>
    <w:p>
      <w:r>
        <w:t>FR: ATF 148 V 209</w:t>
      </w:r>
    </w:p>
    <w:p>
      <w:r>
        <w:t>IT: DTF 148 V 209</w:t>
      </w:r>
    </w:p>
    <w:p>
      <w:pPr>
        <w:pStyle w:val="Heading2"/>
      </w:pPr>
      <w:r>
        <w:t>Regeste</w:t>
      </w:r>
    </w:p>
    <w:p>
      <w:r>
        <w:t>Regeste Art. 65 der Verordnung (EG) Nr. 883/2004 des Europäischen Parlaments und des Rates vom 29. April 2004 zur Koordinierung der Systeme der sozialen Sicherheit und Verordnung (EG) Nr. 987/2009 des Europäischen Parlaments und des Rates vom 16. September 2009 zur Festlegung der Modalitäten für die Durchführung der VO Nr. 883/2004 über die Koordinierung der Systeme der sozialen Sicherheit; Art. 8 Abs. 1 lit. c AVIG; Anspruch auf Arbeitslosenentschädigung eines unechten Grenzgängers. Unechte Grenzgänger haben gemäss Art. 65 Abs. 2 Satz 3 VO Nr. 883/2004 bei Vollarbeitslosigkeit Anspruch auf Leistungen des letzten Tätigkeitsstaates, sofern sie nicht in ihren Wohnmitgliedstaat zurückkehren und sich in diesem Staat der Arbeitsvermittlung zur Verfügung stellen. Unechte Grenzgänger, die in der Schweiz beschäftigt waren und ihren Wohnort im Ausland haben, können somit unter dieser Voraussetzung wählen, ob sie ihren Anspruch auf Arbeitslosenentschädigung in der Schweiz geltend machen wollen (E. 5.3).</w:t>
      </w:r>
    </w:p>
    <w:p>
      <w:pPr>
        <w:pStyle w:val="Heading2"/>
      </w:pPr>
      <w:r>
        <w:t>Erwägungen</w:t>
      </w:r>
    </w:p>
    <w:p>
      <w:r>
        <w:rPr>
          <w:b/>
        </w:rPr>
        <w:t>E. 2.1</w:t>
      </w:r>
    </w:p>
    <w:p>
      <w:r>
        <w:t>Streitig und zu prüfen ist, ob die Vorinstanz Bundesrecht verletzte, indem sie in Aufhebung des Einspracheentscheids vom 30. November 2020 die Anspruchsvoraussetzung des Wohnens in der Schweiz als gegeben erachtete.</w:t>
      </w:r>
    </w:p>
    <w:p>
      <w:r>
        <w:rPr>
          <w:b/>
        </w:rPr>
        <w:t>E. 2.2</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Vom Bundesgericht frei überprüfbare Rechtsfrage ( Art. 95, Art. 106 Abs. 1 BGG ) ist, welche Kriterien für die Bezeichnung des Ortes des gewöhnlichen Aufenthalts massgebend sind. Die konkreten Umstände, die demnach zur Begründung des Wohnorts heranzuziehen sind, betreffen eine Tatfrage; diesbezügliche Feststellungen der Vorinstanz binden das Bundesgericht demnach grundsätzlich (vgl. ARV 2016 S. 227, 8C_60/2016 E. 3.2.1). (...)</w:t>
      </w:r>
    </w:p>
    <w:p>
      <w:r>
        <w:rPr>
          <w:b/>
        </w:rPr>
        <w:t>E. 4.1</w:t>
      </w:r>
    </w:p>
    <w:p>
      <w:r>
        <w:t>Es liegt ein länderübergreifender Sachverhalt vor, der auf der Grundlage von Art. 8 FZA (SR 0.142.112.681) und Art. 1 Abs. 1 Anhang II FZA in Verbindung mit Art. 11 ff. der Verordnung (EG) Nr. 883/2004 des Europäischen Parlaments und des Rates vom BGE 148 V 209 S. 212 29. April 2004 zur Koordinierung der Systeme der sozialen Sicherheit (SR 0.831.109.268.1; nachfolgend: VO Nr. 883/2004) und den diese konkretisierenden Vorgaben der Verordnung (EG) Nr. 987/ 2009 des Europäischen Parlaments und des Rates vom 16. September 2009 zur Festlegung der Modalitäten für die Durchführung der VO Nr. 883/2004 (SR 0.831.109.268.11; nachfolgend: VO Nr. 987/ 2009) zu beurteilen ist. Die entsprechenden Bestimmungen finden in der Arbeitslosenversicherung durch den Verweis in Art. 121 Abs. 1 lit. a AVIG (SR 837.0) Anwendung.</w:t>
      </w:r>
    </w:p>
    <w:p>
      <w:r>
        <w:rPr>
          <w:b/>
        </w:rPr>
        <w:t>E. 4.2</w:t>
      </w:r>
    </w:p>
    <w:p>
      <w:r>
        <w:t>Laut Art. 65 Abs. 2 VO Nr. 883/2004 muss sich eine vollarbeitslose Person, die während ihrer letzten Beschäftigung oder selbstständigen Erwerbstätigkeit in einem anderen als dem zuständigen Mitgliedstaat gewohnt hat und weiterhin in diesem Mitgliedstaat wohnt oder in ihn zurückkehrt, der Arbeitsverwaltung des Wohnmitgliedstaats zur Verfügung stellen. Unbeschadet des Artikels 64 kann sich eine vollarbeitslose Person zusätzlich der Arbeitsverwaltung des Mitgliedstaats zur Verfügung stellen, in dem sie zuletzt eine Beschäftigung oder eine selbstständige Erwerbstätigkeit ausgeübt hat. Ein Arbeitsloser, der kein Grenzgänger ist und nicht in seinen Wohnmitgliedstaat zurückkehrt, muss sich der Arbeitsverwaltung des Mitgliedstaats zur Verfügung stellen, dessen Rechtsvorschriften zuletzt für ihn gegolten haben (Art. 65 Abs. 2 Satz 3 VO Nr. 883/2004).</w:t>
      </w:r>
    </w:p>
    <w:p>
      <w:r>
        <w:rPr>
          <w:b/>
        </w:rPr>
        <w:t>E. 4.3</w:t>
      </w:r>
    </w:p>
    <w:p>
      <w:r>
        <w:t>Unter Vorbehalt der gemeinschafts- bzw. abkommensrechtlichen Vorgaben ist es Sache des innerstaatlichen Rechts, die Anspruchsvoraussetzungen festzulegen (vgl. BGE 141 V 246 E. 2.2 mit Hinweisen). Nach schweizerischem Recht wird gemäss Art. 8 AVIG für den Anspruch auf Arbeitslosenentschädigung unter anderem nach dessen Abs. 1 lit. c vorausgesetzt, dass der Versicherte in der Schweiz wohnt. Dies ist Ausdruck des im Arbeitslosenversicherungsrecht geltenden Verbots des Leistungsexports und des grundlegenden Prinzips der persönlichen Verfügbarkeit (THOMAS NUSSBAUMER, Arbeitslosenversicherung, in: Soziale Sicherheit, SBVR Bd. XIV, 3. Aufl. 2016, S. 2319 Rz. 180). Der innerstaatliche Begriff des Wohnens stimmt vom Wortlaut her mit dem gemeinschaftsrechtlichen nach Art. 1 Bst. j VO Nr. 883/2004 überein, der darunter den Ort des gewöhnlichen Aufenthalts einer Person versteht (NUSSBAUMER, a.a.O., S. 2319 f. Rz. 182). Dieser befindet sich an demjenigen Ort, an dem eine Person den Mittelpunkt ihrer Lebensführung BGE 148 V 209 S. 213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überantwortet die nähere Definition dem jeweiligen nationalen Recht (vgl. zum Ganzen: BGE 138 V 533 E. 4.2 mit Hinweisen; ARV 2016 S. 227, 8C_60/2016 E. 2.4.2). Für die Erfüllung der Anspruchsvoraussetzung des Wohnens nach Art. 8 Abs. 1 lit. c AVIG genügt somit ein tatsächlicher oder "gewöhnlicher" Aufenthalt in der Schweiz mit der Absicht, diesen Aufenthalt während einer gewissen Zeit aufrechtzuerhalten und hier in dieser Zeit auch den Schwerpunkt der Lebensbeziehungen zu haben ( BGE 115 V 448 E. 1b i.f. S. 449; SVR 1996 ALV Nr. 77 S. 235, C 1/96 E. 3a; Urteil 8C_658/2012 vom 15. Februar 2013 E. 3 mit Hinweisen). Entscheidend dafür sind - in Anlehnung an die Rechtsprechung zum Wohnsitz nach Art. 23 ZGB (Urteil 5A_663/2009 vom 1. März 2010 E. 2.2.2) und in Relativierung des soeben zu Art. 1 Bst. j VO Nr. 883/2004 Gesagten - objektive Kriterien, während der innere Wille der betreffenden Person nicht ausschlaggebend ist ( BGE 138 V 533 E. 4.2 mit Hinweisen; ARV 2016 S. 227, 8C_60/2016 E. 2; vgl. ferner BORIS RUBIN, Commentaire de la loi sur l'assurance-chômage, 2014, N. 11 zu Art. 8 AVIG ). Keinesfalls genügt es für die Bejahung eines gewöhnlichen Aufenthalts, wenn sich der Bezug zur Schweiz auf die regelmässige Rückkehr zwecks Erfüllung der Kontrollvorschriften beschränkt (SVR 2006 ALV Nr. 24 S. 82, C 290/03 E. 6.3).</w:t>
      </w:r>
    </w:p>
    <w:p>
      <w:r>
        <w:rPr>
          <w:b/>
        </w:rPr>
        <w:t>E. 5.1</w:t>
      </w:r>
    </w:p>
    <w:p>
      <w:r>
        <w:t>Wie die Vorinstanz willkürfrei feststellte, vermietete das Unternehmen "B. AG" dem Beschwerdegegner (im Sinne von Wohngelegenheiten) jeweils Zimmer in Wohngemeinschaften nahe den jeweiligen Baustellen, auf denen er eingesetzt worden war. Mit Blick auf die widersprüchlichen Angaben im Rahmen der Wohnsitzabklärung durch die Verwaltung erachtete es die Vorinstanz nicht als überwiegend wahrscheinlich, dass der Beschwerdegegner mindestens einmal wöchentlich während der hier zu beurteilenden Beschäftigung in der Schweiz zu seiner Familie zurückkehrte, die eineinhalb Stunden Autofahrt oder drei Stunden Zugfahrt entfernt in E. wohnte, an welcher Adresse der Beschwerdegegner auch einwohnerrechtlich angemeldet blieb. Er kehrte aber, wenn auch nicht BGE 148 V 209 S. 214 wöchentlich, so doch in den Ferien - und damit zumindest gelegentlich - an seinen Wohnort in Italien zurück. Zum hiesigen Arbeitsmarkt blieb insofern eine enge Verbindung, als er sich mehrmals wöchentlich bei potentiellen Arbeitgebern im Oberwallis persönlich um Arbeit bemühte, wobei er sich auch auf Vollzeitanstellungen bewarb und ab März 2020 wieder über einen Arbeitsvertrag beim Unternehmen "B. AG" verfügte. Ob die Vorinstanz hieraus ohne Bundesrecht zu verletzen schliessen durfte, dass der Beschwerdegegner grösstenteils in der Schweiz lebte und hier seinen Lebensmittelpunkt hatte, braucht indessen nicht abschliessend geklärt zu werden, wie sich aus den nachstehenden Erwägungen ergibt.</w:t>
      </w:r>
    </w:p>
    <w:p>
      <w:r>
        <w:rPr>
          <w:b/>
        </w:rPr>
        <w:t>E. 5.2</w:t>
      </w:r>
    </w:p>
    <w:p>
      <w:r>
        <w:t>Unbestritten ist, dass der Beschwerdegegner durch die fehlende tägliche oder mindestens wöchentliche Pendelbewegung von Italien nach der Schweiz nicht als echter Grenzgänger gilt. Da er aber nach den verbindlichen vorinstanzlichen Feststellungen zumindest gelegentlich an seinen Wohnsitz in Italien zurückkehrte, ist er, wenn auch allenfalls nicht als in der Schweiz wohnend, so doch jedenfalls als unechter Grenzgänger zu qualifizieren (SUSANNE DERN, in: VO [EG] Nr. 883/2004, 2012, N. 2 f. zu Art. 65 VO Nr. 883/2004 S. 306).</w:t>
      </w:r>
    </w:p>
    <w:p>
      <w:r>
        <w:rPr>
          <w:b/>
        </w:rPr>
        <w:t>E. 5.3</w:t>
      </w:r>
    </w:p>
    <w:p>
      <w:r>
        <w:t>Wie bereits dargelegt (vorstehende E. 4.2), haben unechte Grenzgänger gemäss Art. 65 Abs. 2 Satz 3 VO Nr. 883/2004 bei Vollarbeitslosigkeit Anspruch auf Leistungen des letzten Tätigkeitsstaates, sofern sie nicht in ihren Wohnmitgliedstaat zurückkehren und sich in diesem Staat der Arbeitsvermittlung zur Verfügung stellen (vgl. DERN, a.a.O., N. 19 f. zu Art. 65 VO Nr. 883/2004 S. 311; MAXIMILIAN FUCHS, in: Europäisches Sozialrecht, 7. Aufl. 2018, N. 8 und 15 zu Art. 65 VO Nr. 883/2004). Unechte Grenzgänger, die in der Schweiz beschäftigt waren und ihren Wohnort im Ausland haben, können somit gestützt auf das in Art. 65 VO Nr. 883/2004 festgehaltene Wahlrecht ihren Anspruch auf Arbeitslosenentschädigung in der Schweiz geltend machen. Bei Ausübung dieses Wahlrechts wird gemäss Kreisschreiben des SECO über die Auswirkungen der Verordnungen (EG) Nr. 883/2004 und 987/2009 auf die Arbeitslosenversicherung (KS ALE 883), Ziff. A88 f. lediglich vorausgesetzt, dass sich die betreffende Person im Staat, in dem sie die Leistungen beansprucht, der öffentlichen Arbeitsvermittlung zur Verfügung stellt. Zuständig sind diejenigen Durchführungsstellen (RAV, Arbeitslosenkasse), in deren Tätigkeitsgebiet der vormalige Aufenthaltsort BGE 148 V 209 S. 215 der betreffenden Person lag. Um in der Schweiz als letzter Beschäftigungsstaat Anspruch auf Arbeitslosenentschädigung erheben zu können, muss der unechte Grenzgänger seinen Wohnort demnach gerade nicht aufgeben und in die Schweiz übersiedeln (vgl. KS ALE 883 Ziff. A24 f., A29 und A90). Durch den Bezug von Arbeitslosenentschädigung in der Schweiz verliert er seinen Status als unechter Grenzgänger nicht (vgl. KS ALE 883 Ziff. D25 und 26), ansonsten fände Art. 65 VO Nr. 883/2004 durch das Zusammenfallen von Wohn- und Beschäftigungsort keine Anwendung und das eigentliche Wahlrecht würde ausgehebelt (DERN, a.a.O., N. 1 zu Art. 65 VO Nr. 883/2004 S. 306 und KS ALE 883 Ziff. A90).</w:t>
      </w:r>
    </w:p>
    <w:p>
      <w:r>
        <w:rPr>
          <w:b/>
        </w:rPr>
        <w:t>E. 5.4</w:t>
      </w:r>
    </w:p>
    <w:p>
      <w:r>
        <w:t>Die Beschwerdeführerin übersieht somit bei ihrer Argumentation, dass das Erfordernis des Wohnens in der Schweiz nach Art. 8 Abs. 1 lit. c AVIG für unechte Grenzgänger entfällt, die in der Schweiz Anspruch auf Arbeitslosenentschädigung erheben. Der Beschwerdegegner stellte sich uneingeschränkt der Arbeitsvermittlung in der Schweiz zur Verfügung, weilte hier mehrmals wöchentlich zur Stellensuche und hielt die enge Beziehung zum schweizerischen Arbeitsmarkt dementsprechend aufrecht. Durch die bereits bei der Anmeldung in Aussicht stehende erneute Beschäftigung bei der gleichen Arbeitgeberin im Frühjahr 2020 in der Schweiz machte er deutlich, dass er weiterhin unter den gleichen Bedingungen in der Schweiz tätig sein wollte und insofern auf eine Rückkehr in seinen Wohnstaat verzichtete (vgl. Urteile 8C_186/2017 vom 1. September 2017 E. 7.7 [Zusammenfassung in: RtiD 2018 I S. 281] mit Hinweis auf ARV 2016 S. 227, 8C_60/2016 E. 4.2.3, in welchen Fällen die versicherte Person in ihren Wohnstaat zurückkehrte und diese daher kein Wahlrecht besass). Fehl geht somit die Auffassung der Beschwerdeführerin unter Hinweis auf Art. 65 Abs. 2 Satz 3 VO Nr. 883/2004 und das soeben zitierte Urteil 8C_186/2017, dass es unerheblich sei, ob es sich um einen echten Grenzgänger (Tages- und Wochenpendler) oder um einen unechten Grenzgänger (keine wöchentliche, aber gelegentliche Rückkehr in den Wohnstaat) handle, da sich bei beiden der Leistungsanspruch nach dem Recht des Wohnstaates richte. Dabei übersieht sie das soeben skizzierte Wahlrecht des unechten Grenzgängers. Hinsichtlich seines Anspruchs auf Arbeitslosenentschädigung nach Schweizer Recht ist es daher vorliegend unerheblich, ob der Beschwerdegegner in der Schweiz seinen Lebensmittelpunkt hatte und damit seinen gewöhnlichen Aufenthalt.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